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0DDB" w14:textId="648FAD9C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9B1CB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9B1CB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129D5" w:rsidRPr="009B1CB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9B1CB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08113</w:t>
      </w:r>
    </w:p>
    <w:p w14:paraId="0E546AFF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7996358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2851557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6907370" w14:textId="62BED1BF" w:rsidR="00841BCD" w:rsidRPr="008C39F7" w:rsidRDefault="3D91E968" w:rsidP="6880D50E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6880D50E">
        <w:rPr>
          <w:rFonts w:ascii="Arial" w:eastAsia="Calibri" w:hAnsi="Arial" w:cs="Arial"/>
          <w:b/>
          <w:bCs/>
          <w:sz w:val="24"/>
          <w:szCs w:val="24"/>
        </w:rPr>
        <w:t>Title:</w:t>
      </w:r>
      <w:r w:rsidR="00841BCD">
        <w:tab/>
      </w:r>
      <w:r w:rsidR="73179F19" w:rsidRPr="6880D50E">
        <w:rPr>
          <w:rFonts w:ascii="Arial" w:eastAsia="Calibri" w:hAnsi="Arial" w:cs="Arial"/>
          <w:b/>
          <w:bCs/>
          <w:sz w:val="24"/>
          <w:szCs w:val="24"/>
        </w:rPr>
        <w:t>On NR sidelink CA RF</w:t>
      </w:r>
      <w:r w:rsidR="57C52599" w:rsidRPr="6880D50E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4FFE3796" w:rsidRPr="6880D50E">
        <w:rPr>
          <w:rFonts w:ascii="Arial" w:eastAsia="Calibri" w:hAnsi="Arial" w:cs="Arial"/>
          <w:b/>
          <w:bCs/>
          <w:sz w:val="24"/>
          <w:szCs w:val="24"/>
        </w:rPr>
        <w:t>requirements</w:t>
      </w:r>
    </w:p>
    <w:p w14:paraId="5EA95871" w14:textId="668D8332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C82F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F129D5">
        <w:rPr>
          <w:rFonts w:ascii="Arial" w:eastAsia="MS Mincho" w:hAnsi="Arial" w:cs="Arial"/>
          <w:b/>
          <w:bCs/>
          <w:sz w:val="24"/>
          <w:szCs w:val="20"/>
        </w:rPr>
        <w:t>.31.2.3</w:t>
      </w:r>
    </w:p>
    <w:p w14:paraId="21B2CF34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3C3C3CC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83B5501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8B7A2A3" w14:textId="4C2C4FAA" w:rsidR="00556DE0" w:rsidRDefault="0041410E" w:rsidP="00BD1219">
      <w:pPr>
        <w:rPr>
          <w:lang w:val="en-GB"/>
        </w:rPr>
      </w:pPr>
      <w:r>
        <w:rPr>
          <w:lang w:val="en-GB"/>
        </w:rPr>
        <w:t xml:space="preserve">RAN Plenary #99 agreed to start the work on SL carrier aggregation with limited scope compared to the original planned objective [1].  </w:t>
      </w:r>
      <w:r w:rsidR="00556DE0">
        <w:rPr>
          <w:lang w:val="en-GB"/>
        </w:rPr>
        <w:t xml:space="preserve">The scope </w:t>
      </w:r>
      <w:r w:rsidR="00FA64C0">
        <w:rPr>
          <w:lang w:val="en-GB"/>
        </w:rPr>
        <w:t>was reduced with changes shown in the tracked copy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FA64C0" w:rsidRPr="008C39F7" w14:paraId="497E6EF7" w14:textId="77777777" w:rsidTr="00F200C8">
        <w:trPr>
          <w:jc w:val="center"/>
        </w:trPr>
        <w:tc>
          <w:tcPr>
            <w:tcW w:w="9000" w:type="dxa"/>
          </w:tcPr>
          <w:p w14:paraId="11048548" w14:textId="5DEF0601" w:rsidR="00FA64C0" w:rsidRDefault="00FA64C0" w:rsidP="00FA64C0">
            <w:pPr>
              <w:numPr>
                <w:ilvl w:val="0"/>
                <w:numId w:val="37"/>
              </w:numPr>
              <w:spacing w:before="120"/>
              <w:ind w:left="426" w:hanging="284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Specify mechanism to support NR sidelink CA operation based on LTE sidelink CA operation [RAN2, RAN1, RAN4]</w:t>
            </w:r>
          </w:p>
          <w:p w14:paraId="7579C6C3" w14:textId="1211EE18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5BCB1C1A" w14:textId="54E7DCDE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bookmarkStart w:id="4" w:name="_Hlk134432050"/>
            <w:r>
              <w:rPr>
                <w:rFonts w:ascii="Times" w:hAnsi="Times" w:cs="Times"/>
                <w:lang w:eastAsia="ko-KR"/>
              </w:rPr>
              <w:t>The work is limited to intra-band CA for the ITS band in FR1 (Band n47).</w:t>
            </w:r>
          </w:p>
          <w:bookmarkEnd w:id="4"/>
          <w:p w14:paraId="1A01F5A1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5838CF58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1677431B" w14:textId="6E862D92" w:rsidR="00FA64C0" w:rsidRDefault="00FA64C0" w:rsidP="00FA64C0">
            <w:pPr>
              <w:numPr>
                <w:ilvl w:val="1"/>
                <w:numId w:val="38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bookmarkStart w:id="5" w:name="_Hlk89619097"/>
            <w:r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5"/>
            <w:r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195364C3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Only Mode 2 operation</w:t>
            </w:r>
          </w:p>
          <w:p w14:paraId="2F4D4E8E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14:paraId="43CB5C87" w14:textId="77777777" w:rsidR="00FA64C0" w:rsidRDefault="00FA64C0" w:rsidP="00FA64C0">
            <w:pPr>
              <w:numPr>
                <w:ilvl w:val="1"/>
                <w:numId w:val="38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14:paraId="6BA970B2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5E554BB5" w14:textId="77777777" w:rsidR="00FA64C0" w:rsidRDefault="00FA64C0" w:rsidP="00FA64C0">
            <w:pPr>
              <w:numPr>
                <w:ilvl w:val="1"/>
                <w:numId w:val="38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14:paraId="09464017" w14:textId="77777777" w:rsidR="00FA64C0" w:rsidRDefault="00FA64C0" w:rsidP="00FA64C0">
            <w:pPr>
              <w:numPr>
                <w:ilvl w:val="1"/>
                <w:numId w:val="38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14:paraId="671563F5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14:paraId="3AA89149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14:paraId="6FDA6AD8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Reuse the LTE sidelink CA design for the following aspects:</w:t>
            </w:r>
          </w:p>
          <w:p w14:paraId="2941CBB1" w14:textId="77777777" w:rsidR="00FA64C0" w:rsidRDefault="00FA64C0" w:rsidP="00FA64C0">
            <w:pPr>
              <w:numPr>
                <w:ilvl w:val="1"/>
                <w:numId w:val="38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5C301C71" w14:textId="77777777" w:rsid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14:paraId="2C8F378C" w14:textId="14619F28" w:rsidR="00FA64C0" w:rsidRPr="00FA64C0" w:rsidRDefault="00FA64C0" w:rsidP="00FA64C0">
            <w:pPr>
              <w:numPr>
                <w:ilvl w:val="0"/>
                <w:numId w:val="38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  <w:p w14:paraId="6FD7EBD0" w14:textId="77777777" w:rsidR="00FA64C0" w:rsidRPr="008C39F7" w:rsidRDefault="00FA64C0" w:rsidP="00FA64C0"/>
        </w:tc>
      </w:tr>
    </w:tbl>
    <w:p w14:paraId="1273E2DC" w14:textId="77777777" w:rsidR="00FA64C0" w:rsidRPr="008C39F7" w:rsidRDefault="00FA64C0" w:rsidP="00FA64C0"/>
    <w:p w14:paraId="6A5DBAA1" w14:textId="77777777" w:rsidR="002A39C1" w:rsidRDefault="00BD1219" w:rsidP="00BD1219">
      <w:pPr>
        <w:rPr>
          <w:lang w:val="en-GB"/>
        </w:rPr>
      </w:pPr>
      <w:r w:rsidRPr="00887CDC">
        <w:rPr>
          <w:lang w:val="en-GB"/>
        </w:rPr>
        <w:t>In RAN4#106</w:t>
      </w:r>
      <w:r>
        <w:rPr>
          <w:lang w:val="en-GB"/>
        </w:rPr>
        <w:t>bis</w:t>
      </w:r>
      <w:r w:rsidR="00885E8F">
        <w:rPr>
          <w:lang w:val="en-GB"/>
        </w:rPr>
        <w:t xml:space="preserve"> some</w:t>
      </w:r>
      <w:r w:rsidRPr="00887CDC">
        <w:rPr>
          <w:lang w:val="en-GB"/>
        </w:rPr>
        <w:t xml:space="preserve"> agreements were made regarding </w:t>
      </w:r>
      <w:r w:rsidR="00885E8F">
        <w:rPr>
          <w:lang w:val="en-GB"/>
        </w:rPr>
        <w:t xml:space="preserve">relevant RF requirements [2]. Short list of agreements and open issue </w:t>
      </w:r>
      <w:r w:rsidR="002A39C1">
        <w:rPr>
          <w:lang w:val="en-GB"/>
        </w:rPr>
        <w:t>is provided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8"/>
      </w:tblGrid>
      <w:tr w:rsidR="002A39C1" w14:paraId="4E821BD7" w14:textId="77777777" w:rsidTr="6880D50E">
        <w:trPr>
          <w:jc w:val="center"/>
        </w:trPr>
        <w:tc>
          <w:tcPr>
            <w:tcW w:w="8998" w:type="dxa"/>
          </w:tcPr>
          <w:p w14:paraId="6BE3D319" w14:textId="77777777" w:rsidR="00036A17" w:rsidRPr="00036A17" w:rsidRDefault="614037C8" w:rsidP="002A39C1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 w:rsidRPr="6880D50E">
              <w:rPr>
                <w:lang w:eastAsia="zh-CN"/>
              </w:rPr>
              <w:t>Capture the requirement for SL intra-band CA under suffix E in RAN4 specification.</w:t>
            </w:r>
          </w:p>
          <w:p w14:paraId="44AC3975" w14:textId="18C22A77" w:rsidR="002A39C1" w:rsidRPr="00885E8F" w:rsidRDefault="1AEF7160" w:rsidP="002A39C1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 w:rsidRPr="6880D50E">
              <w:rPr>
                <w:lang w:eastAsia="zh-CN"/>
              </w:rPr>
              <w:t>Notation for NR SL CA is SL_n47X, where X can be bandwidth class like B or C</w:t>
            </w:r>
          </w:p>
          <w:p w14:paraId="1E250AC2" w14:textId="77777777" w:rsidR="002A39C1" w:rsidRPr="00885E8F" w:rsidRDefault="1AEF7160" w:rsidP="002A39C1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 w:rsidRPr="6880D50E">
              <w:rPr>
                <w:lang w:eastAsia="zh-CN"/>
              </w:rPr>
              <w:t>Reuse NR CA bandwidth classes A and B</w:t>
            </w:r>
          </w:p>
          <w:p w14:paraId="0E1A725F" w14:textId="77777777" w:rsidR="002A39C1" w:rsidRDefault="1AEF7160" w:rsidP="002A39C1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 w:rsidRPr="6880D50E">
              <w:rPr>
                <w:lang w:eastAsia="zh-CN"/>
              </w:rPr>
              <w:lastRenderedPageBreak/>
              <w:t>All applicable SCS for ITS band n47 is applicable for NR sidelink CA operation: 15kHz, 30kHz and 60kHz</w:t>
            </w:r>
          </w:p>
          <w:p w14:paraId="27A25B57" w14:textId="0F836F7A" w:rsidR="002A39C1" w:rsidRDefault="1AEF7160" w:rsidP="002A39C1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 w:rsidRPr="6880D50E">
              <w:rPr>
                <w:lang w:eastAsia="ko-KR"/>
              </w:rPr>
              <w:t>The maximum aggregated CBW for sidelink intra-band contiguous CA for n47 is 70 MHz (30MHz +40MHz). CC1 may have BW of 10, 20, 30, or 40 MHz and CC2 may have BW of 10, 20, or 30 kHz.</w:t>
            </w:r>
          </w:p>
          <w:p w14:paraId="1A96CE42" w14:textId="77777777" w:rsidR="002A39C1" w:rsidRDefault="1AEF7160" w:rsidP="002A39C1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 w:rsidRPr="6880D50E">
              <w:rPr>
                <w:lang w:eastAsia="zh-CN"/>
              </w:rPr>
              <w:t>For the UE maximum output power of SL(V2X) intra-band contiguous CA, consider PC3 in Rel-18 (FFS: PC2)</w:t>
            </w:r>
          </w:p>
          <w:p w14:paraId="26736F8D" w14:textId="77777777" w:rsidR="002A39C1" w:rsidRPr="00885E8F" w:rsidRDefault="1AEF7160" w:rsidP="002A39C1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 w:rsidRPr="6880D50E">
              <w:rPr>
                <w:lang w:eastAsia="zh-CN"/>
              </w:rPr>
              <w:t>For basic parameters, reuse the simulation assumptions in TR38.785 (Rel-17 enhanced NR sidelink). Other constraints for PSCCH/PSSCH/PSFCH/S-SSB can be assumed based on current RAN1’s agreement.</w:t>
            </w:r>
          </w:p>
          <w:p w14:paraId="358B4931" w14:textId="77777777" w:rsidR="002A39C1" w:rsidRPr="00885E8F" w:rsidRDefault="002A39C1" w:rsidP="002A39C1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="60"/>
              <w:textAlignment w:val="baseline"/>
              <w:rPr>
                <w:rFonts w:eastAsia="MS Mincho"/>
                <w:szCs w:val="24"/>
                <w:lang w:eastAsia="zh-CN"/>
              </w:rPr>
            </w:pPr>
            <w:r>
              <w:rPr>
                <w:rFonts w:eastAsia="MS Mincho"/>
                <w:szCs w:val="24"/>
                <w:lang w:eastAsia="zh-CN"/>
              </w:rPr>
              <w:t>Specify P</w:t>
            </w:r>
            <w:r>
              <w:rPr>
                <w:rFonts w:eastAsia="MS Mincho"/>
                <w:szCs w:val="24"/>
                <w:vertAlign w:val="subscript"/>
                <w:lang w:eastAsia="zh-CN"/>
              </w:rPr>
              <w:t>EMAX,CA</w:t>
            </w:r>
            <w:r>
              <w:rPr>
                <w:rFonts w:eastAsia="MS Mincho"/>
                <w:szCs w:val="24"/>
                <w:lang w:eastAsia="zh-CN"/>
              </w:rPr>
              <w:t xml:space="preserve"> for SL CA. </w:t>
            </w:r>
            <w:r w:rsidRPr="00885E8F">
              <w:rPr>
                <w:szCs w:val="24"/>
                <w:lang w:eastAsia="zh-CN"/>
              </w:rPr>
              <w:t>P</w:t>
            </w:r>
            <w:r w:rsidRPr="00885E8F">
              <w:rPr>
                <w:szCs w:val="24"/>
                <w:vertAlign w:val="subscript"/>
                <w:lang w:eastAsia="zh-CN"/>
              </w:rPr>
              <w:t>EMAX,CA</w:t>
            </w:r>
            <w:r w:rsidRPr="00885E8F">
              <w:rPr>
                <w:szCs w:val="24"/>
                <w:lang w:eastAsia="zh-CN"/>
              </w:rPr>
              <w:t xml:space="preserve"> is </w:t>
            </w:r>
            <w:r w:rsidRPr="00885E8F">
              <w:rPr>
                <w:rFonts w:eastAsia="DengXian"/>
                <w:iCs/>
                <w:lang w:eastAsia="zh-CN"/>
              </w:rPr>
              <w:t>not applied to S-SSB</w:t>
            </w:r>
          </w:p>
          <w:p w14:paraId="3B83B5E4" w14:textId="77777777" w:rsidR="002A39C1" w:rsidRDefault="1AEF7160" w:rsidP="002A39C1">
            <w:pPr>
              <w:pStyle w:val="ListParagraph"/>
              <w:numPr>
                <w:ilvl w:val="0"/>
                <w:numId w:val="38"/>
              </w:numPr>
              <w:spacing w:before="60"/>
              <w:rPr>
                <w:lang w:eastAsia="zh-CN"/>
              </w:rPr>
            </w:pPr>
            <w:r w:rsidRPr="6880D50E">
              <w:rPr>
                <w:lang w:eastAsia="zh-CN"/>
              </w:rPr>
              <w:t>Specify reference sensitivity by considering the aggregated channel bandwidth for SL intra-band contiguous CA</w:t>
            </w:r>
          </w:p>
          <w:p w14:paraId="5611D800" w14:textId="77777777" w:rsidR="00E573DB" w:rsidRPr="00885E8F" w:rsidRDefault="00E573DB" w:rsidP="00E573DB">
            <w:pPr>
              <w:pStyle w:val="ListParagraph"/>
              <w:spacing w:before="60"/>
              <w:rPr>
                <w:lang w:eastAsia="zh-CN"/>
              </w:rPr>
            </w:pPr>
          </w:p>
          <w:p w14:paraId="46E5C48B" w14:textId="77777777" w:rsidR="002A39C1" w:rsidRPr="00885E8F" w:rsidRDefault="002A39C1" w:rsidP="002A39C1">
            <w:pPr>
              <w:rPr>
                <w:lang w:val="en-GB"/>
              </w:rPr>
            </w:pPr>
            <w:r w:rsidRPr="00885E8F">
              <w:rPr>
                <w:lang w:val="en-GB"/>
              </w:rPr>
              <w:t>Open issues: Methodology on Tx requirements for SL intra-band contiguous CA</w:t>
            </w:r>
          </w:p>
          <w:p w14:paraId="77B1E4BB" w14:textId="77777777" w:rsidR="002A39C1" w:rsidRDefault="002A39C1" w:rsidP="002A39C1">
            <w:pPr>
              <w:numPr>
                <w:ilvl w:val="0"/>
                <w:numId w:val="42"/>
              </w:numPr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>Option 1:</w:t>
            </w:r>
            <w:r>
              <w:t xml:space="preserve"> </w:t>
            </w:r>
            <w:r>
              <w:rPr>
                <w:lang w:eastAsia="zh-CN"/>
              </w:rPr>
              <w:t xml:space="preserve">Reusing the existing requirements of NR intra-band contiguous CA </w:t>
            </w:r>
          </w:p>
          <w:p w14:paraId="7EA0CAC6" w14:textId="77777777" w:rsidR="002A39C1" w:rsidRDefault="002A39C1" w:rsidP="002A39C1">
            <w:pPr>
              <w:numPr>
                <w:ilvl w:val="0"/>
                <w:numId w:val="42"/>
              </w:numPr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>Option 2: LTE intra-band contiguous CA requirements are considered as baseline</w:t>
            </w:r>
          </w:p>
          <w:p w14:paraId="74251ACD" w14:textId="0C166B30" w:rsidR="002A39C1" w:rsidRPr="002A39C1" w:rsidRDefault="002A39C1" w:rsidP="00BD1219">
            <w:pPr>
              <w:numPr>
                <w:ilvl w:val="0"/>
                <w:numId w:val="42"/>
              </w:numPr>
              <w:spacing w:before="60"/>
              <w:rPr>
                <w:lang w:eastAsia="zh-CN"/>
              </w:rPr>
            </w:pPr>
            <w:r>
              <w:rPr>
                <w:lang w:eastAsia="zh-CN"/>
              </w:rPr>
              <w:t>Option 3: For further study</w:t>
            </w:r>
          </w:p>
        </w:tc>
      </w:tr>
    </w:tbl>
    <w:p w14:paraId="6DF07C16" w14:textId="77777777" w:rsidR="0060543D" w:rsidRDefault="0060543D" w:rsidP="005C23A4"/>
    <w:p w14:paraId="4295872F" w14:textId="54CA9589" w:rsidR="00CB107D" w:rsidRPr="008C39F7" w:rsidRDefault="00CB107D" w:rsidP="005C23A4">
      <w:r>
        <w:t xml:space="preserve">This document discuss clarification on the WID scope related to intra-band </w:t>
      </w:r>
      <w:r w:rsidR="006B0EDF">
        <w:t xml:space="preserve">CA as well as the open issue related to the </w:t>
      </w:r>
      <w:r w:rsidR="006B0EDF">
        <w:rPr>
          <w:lang w:val="en-GB"/>
        </w:rPr>
        <w:t>m</w:t>
      </w:r>
      <w:r w:rsidR="006B0EDF" w:rsidRPr="00885E8F">
        <w:rPr>
          <w:lang w:val="en-GB"/>
        </w:rPr>
        <w:t>ethodology on Tx requirements for SL intra-band contiguous CA</w:t>
      </w:r>
      <w:r w:rsidR="006B0EDF">
        <w:rPr>
          <w:lang w:val="en-GB"/>
        </w:rPr>
        <w:t>.</w:t>
      </w:r>
    </w:p>
    <w:p w14:paraId="3DD5404B" w14:textId="77777777" w:rsidR="0060543D" w:rsidRPr="008C39F7" w:rsidRDefault="0060543D" w:rsidP="005C23A4"/>
    <w:p w14:paraId="39105117" w14:textId="77777777" w:rsidR="003B659E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19D07108" w14:textId="01819EC1" w:rsidR="00D86FBD" w:rsidRPr="00D86FBD" w:rsidRDefault="00B70782" w:rsidP="007B61AB">
      <w:pPr>
        <w:pStyle w:val="RAN4H2"/>
      </w:pPr>
      <w:r>
        <w:t>WID scope regarding intra-band CA</w:t>
      </w:r>
    </w:p>
    <w:p w14:paraId="6C8FAA21" w14:textId="44A75AE8" w:rsidR="00DD045A" w:rsidRDefault="00460E68" w:rsidP="007B61AB">
      <w:r>
        <w:t xml:space="preserve">The revised WID </w:t>
      </w:r>
      <w:r w:rsidR="00FF6801">
        <w:t xml:space="preserve">limits the scope </w:t>
      </w:r>
      <w:proofErr w:type="spellStart"/>
      <w:r w:rsidR="00FF6801">
        <w:t>wrt</w:t>
      </w:r>
      <w:proofErr w:type="spellEnd"/>
      <w:r w:rsidR="00FF6801">
        <w:t>. supported band combinations to ‘</w:t>
      </w:r>
      <w:r w:rsidR="008E5756" w:rsidRPr="008E5756">
        <w:t>intra-band CA for the ITS band in FR1 (Band n47).</w:t>
      </w:r>
      <w:r w:rsidR="007A22E6">
        <w:t xml:space="preserve"> </w:t>
      </w:r>
      <w:r w:rsidR="00DE197C">
        <w:t>T</w:t>
      </w:r>
      <w:r w:rsidR="00222091">
        <w:t xml:space="preserve">he </w:t>
      </w:r>
      <w:r w:rsidR="00D20983" w:rsidRPr="00D20983">
        <w:t xml:space="preserve">CA band combination work in RAN4 is </w:t>
      </w:r>
      <w:r w:rsidR="0047177B">
        <w:t xml:space="preserve">further </w:t>
      </w:r>
      <w:r w:rsidR="00D20983" w:rsidRPr="00D20983">
        <w:t>limited to intra-band contiguous CA in Rel-18.</w:t>
      </w:r>
      <w:r w:rsidR="0047177B">
        <w:t xml:space="preserve"> </w:t>
      </w:r>
    </w:p>
    <w:p w14:paraId="68E20C1F" w14:textId="2F73808D" w:rsidR="00F916D4" w:rsidRDefault="003031E5" w:rsidP="00300956">
      <w:r>
        <w:t xml:space="preserve">Even </w:t>
      </w:r>
      <w:r w:rsidR="00154C49">
        <w:t>considering</w:t>
      </w:r>
      <w:r w:rsidR="004C114E">
        <w:t xml:space="preserve"> NR SL CA in</w:t>
      </w:r>
      <w:r w:rsidR="00154C49">
        <w:t xml:space="preserve"> intra-band contiguou</w:t>
      </w:r>
      <w:r w:rsidR="004C114E">
        <w:t>s C</w:t>
      </w:r>
      <w:r w:rsidR="006E6380">
        <w:t xml:space="preserve">A in ITS band in FR1, </w:t>
      </w:r>
      <w:r w:rsidR="008709F3">
        <w:t xml:space="preserve">the concept of non-contiguous UL intra-band CA can in some sense be seen as equivalent to the contiguous UL intra-band CA with non-contiguous resource allocations from </w:t>
      </w:r>
      <w:r w:rsidR="002E38C0">
        <w:t xml:space="preserve">e.g. </w:t>
      </w:r>
      <w:r w:rsidR="008709F3">
        <w:t>an emissions point of view</w:t>
      </w:r>
      <w:r w:rsidR="002E38C0">
        <w:t>.</w:t>
      </w:r>
      <w:r w:rsidR="00DC30DC">
        <w:t xml:space="preserve"> </w:t>
      </w:r>
      <w:r w:rsidR="00E11805">
        <w:t xml:space="preserve">This </w:t>
      </w:r>
      <w:r w:rsidR="00F91EE8">
        <w:t>can occur i</w:t>
      </w:r>
      <w:r w:rsidR="005D739F">
        <w:t>f</w:t>
      </w:r>
      <w:r w:rsidR="00F91EE8">
        <w:t xml:space="preserve"> the allocated resource</w:t>
      </w:r>
      <w:r w:rsidR="005D739F">
        <w:t xml:space="preserve"> blocks</w:t>
      </w:r>
      <w:r w:rsidR="00FA1A3C">
        <w:t xml:space="preserve"> are non</w:t>
      </w:r>
      <w:r w:rsidR="005D739F">
        <w:t>-</w:t>
      </w:r>
      <w:r w:rsidR="00FA1A3C">
        <w:t>contiguous</w:t>
      </w:r>
      <w:r w:rsidR="005437E7">
        <w:t>.</w:t>
      </w:r>
      <w:r w:rsidR="006307AF">
        <w:t xml:space="preserve"> An example of this case </w:t>
      </w:r>
      <w:r w:rsidR="00144425">
        <w:t xml:space="preserve">is given in below configuration for n41C </w:t>
      </w:r>
      <w:r w:rsidR="00E3723D">
        <w:t xml:space="preserve">in CA_n25_n41 </w:t>
      </w:r>
      <w:r w:rsidR="00D05DB8">
        <w:t>[</w:t>
      </w:r>
      <w:r w:rsidR="00144425">
        <w:t>38.101-1</w:t>
      </w:r>
      <w:r w:rsidR="00CC6DFF">
        <w:t xml:space="preserve">, </w:t>
      </w:r>
      <w:r w:rsidR="00CC6DFF" w:rsidRPr="00CC6DFF">
        <w:t>Table 7.3A.5-1</w:t>
      </w:r>
      <w:r w:rsidR="00D05DB8">
        <w:t>]</w:t>
      </w:r>
      <w:r w:rsidR="00E3723D">
        <w:t>.</w:t>
      </w:r>
    </w:p>
    <w:p w14:paraId="7D9227FE" w14:textId="31AEDB4A" w:rsidR="00E3723D" w:rsidRDefault="00F601B9" w:rsidP="00300956">
      <w:r w:rsidRPr="007B1CD8">
        <w:rPr>
          <w:noProof/>
        </w:rPr>
        <w:drawing>
          <wp:inline distT="0" distB="0" distL="0" distR="0" wp14:anchorId="1C1F6367" wp14:editId="7B351EC3">
            <wp:extent cx="5543550" cy="873540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003" cy="87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A9506" w14:textId="7278D7C7" w:rsidR="00A26E39" w:rsidRPr="008C39F7" w:rsidRDefault="00A26E39" w:rsidP="00A26E39">
      <w:pPr>
        <w:pStyle w:val="RAN4observation0"/>
      </w:pPr>
      <w:bookmarkStart w:id="7" w:name="_Toc135041473"/>
      <w:r>
        <w:t>From an emission point of view non-contiguous UL intra-band CA is equivalent to contiguous UL intra-band CA with non-contiguous resource allocations.</w:t>
      </w:r>
      <w:bookmarkEnd w:id="7"/>
    </w:p>
    <w:p w14:paraId="40A25B9E" w14:textId="44948B78" w:rsidR="00F601B9" w:rsidRDefault="001A5906" w:rsidP="00300956">
      <w:r>
        <w:t>RAN</w:t>
      </w:r>
      <w:r w:rsidR="00400F14">
        <w:t>4</w:t>
      </w:r>
      <w:r>
        <w:t xml:space="preserve"> needs to clearly agree if the scope</w:t>
      </w:r>
      <w:r w:rsidR="003C47B9">
        <w:t xml:space="preserve"> as provided in WID [1] should </w:t>
      </w:r>
      <w:r w:rsidR="00A9268D">
        <w:t xml:space="preserve">be </w:t>
      </w:r>
      <w:r w:rsidR="005943FA">
        <w:t>understood as intra-band contiguous CA,</w:t>
      </w:r>
      <w:r w:rsidR="00DE6605">
        <w:t xml:space="preserve"> </w:t>
      </w:r>
      <w:r w:rsidR="00A657FB">
        <w:t>considering the allocated resources</w:t>
      </w:r>
      <w:r w:rsidR="009E2BBA">
        <w:t>.</w:t>
      </w:r>
      <w:r w:rsidR="005943FA">
        <w:t xml:space="preserve"> </w:t>
      </w:r>
      <w:r w:rsidR="00792CF0">
        <w:t>I.</w:t>
      </w:r>
      <w:r w:rsidR="00A301D5">
        <w:t xml:space="preserve"> </w:t>
      </w:r>
      <w:r w:rsidR="00792CF0">
        <w:t>e.</w:t>
      </w:r>
      <w:r w:rsidR="005943FA">
        <w:t xml:space="preserve"> </w:t>
      </w:r>
      <w:r w:rsidR="00400F14">
        <w:t>RAN4 should specify whether the configurations</w:t>
      </w:r>
      <w:r w:rsidR="00A00881">
        <w:t xml:space="preserve"> which make contiguous UL intra-band CA</w:t>
      </w:r>
      <w:r w:rsidR="006307AF">
        <w:t xml:space="preserve"> </w:t>
      </w:r>
      <w:r w:rsidR="00A00881">
        <w:t xml:space="preserve">equivalent to </w:t>
      </w:r>
      <w:r w:rsidR="006307AF">
        <w:t>non-contiguous intra band CA are excluded.</w:t>
      </w:r>
    </w:p>
    <w:p w14:paraId="26739887" w14:textId="0E074EEC" w:rsidR="00A9268D" w:rsidRDefault="00A9268D" w:rsidP="00A9268D">
      <w:pPr>
        <w:pStyle w:val="RAN4proposal"/>
      </w:pPr>
      <w:bookmarkStart w:id="8" w:name="_Toc135041474"/>
      <w:r>
        <w:t xml:space="preserve">RAN4 needs to clarify whether </w:t>
      </w:r>
      <w:r w:rsidRPr="00A9268D">
        <w:t>the configurations which make contiguous UL intra-band CA equivalent to non-contiguous intra band CA are excluded</w:t>
      </w:r>
      <w:r>
        <w:t>.</w:t>
      </w:r>
      <w:bookmarkEnd w:id="8"/>
    </w:p>
    <w:p w14:paraId="0687FFD9" w14:textId="5EFCB5E8" w:rsidR="00B70782" w:rsidRPr="00D86FBD" w:rsidRDefault="00036BEE" w:rsidP="00B70782">
      <w:pPr>
        <w:pStyle w:val="RAN4H2"/>
      </w:pPr>
      <w:r>
        <w:t>M</w:t>
      </w:r>
      <w:r w:rsidRPr="00036BEE">
        <w:t>ethodology on Tx requirements for SL intra-band CA</w:t>
      </w:r>
    </w:p>
    <w:p w14:paraId="0CFC95D4" w14:textId="5BF16325" w:rsidR="00E8083B" w:rsidRDefault="0038375E" w:rsidP="00300956">
      <w:r>
        <w:t>One open issue which was</w:t>
      </w:r>
      <w:r w:rsidR="00542BEF">
        <w:t xml:space="preserve"> left without agreement was related to the </w:t>
      </w:r>
      <w:r w:rsidR="00542BEF">
        <w:rPr>
          <w:lang w:val="en-GB"/>
        </w:rPr>
        <w:t>m</w:t>
      </w:r>
      <w:r w:rsidR="00542BEF" w:rsidRPr="00885E8F">
        <w:rPr>
          <w:lang w:val="en-GB"/>
        </w:rPr>
        <w:t>ethodology on Tx requirements for SL intra-band contiguous CA</w:t>
      </w:r>
      <w:r w:rsidR="006C362B">
        <w:rPr>
          <w:lang w:val="en-GB"/>
        </w:rPr>
        <w:t>. The options are:</w:t>
      </w:r>
    </w:p>
    <w:p w14:paraId="306AEA73" w14:textId="77777777" w:rsidR="00E8083B" w:rsidRDefault="00E8083B" w:rsidP="00E8083B">
      <w:pPr>
        <w:numPr>
          <w:ilvl w:val="0"/>
          <w:numId w:val="42"/>
        </w:numPr>
        <w:spacing w:before="60"/>
        <w:rPr>
          <w:lang w:eastAsia="zh-CN"/>
        </w:rPr>
      </w:pPr>
      <w:r>
        <w:rPr>
          <w:lang w:eastAsia="zh-CN"/>
        </w:rPr>
        <w:t>Option 1</w:t>
      </w:r>
      <w:r w:rsidRPr="006C362B">
        <w:rPr>
          <w:lang w:eastAsia="zh-CN"/>
        </w:rPr>
        <w:t>: Reusing the existing requirements of NR intra-band contiguous CA</w:t>
      </w:r>
      <w:r>
        <w:rPr>
          <w:lang w:eastAsia="zh-CN"/>
        </w:rPr>
        <w:t xml:space="preserve"> </w:t>
      </w:r>
    </w:p>
    <w:p w14:paraId="10B0FEAB" w14:textId="77777777" w:rsidR="00E8083B" w:rsidRDefault="00E8083B" w:rsidP="00E8083B">
      <w:pPr>
        <w:numPr>
          <w:ilvl w:val="0"/>
          <w:numId w:val="42"/>
        </w:numPr>
        <w:spacing w:before="60"/>
        <w:rPr>
          <w:lang w:eastAsia="zh-CN"/>
        </w:rPr>
      </w:pPr>
      <w:r>
        <w:rPr>
          <w:lang w:eastAsia="zh-CN"/>
        </w:rPr>
        <w:lastRenderedPageBreak/>
        <w:t>Option 2: LTE intra-band contiguous CA requirements are considered as baseline</w:t>
      </w:r>
    </w:p>
    <w:p w14:paraId="400B6245" w14:textId="7126A522" w:rsidR="00E8083B" w:rsidRDefault="00E8083B" w:rsidP="00E8083B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Option 3: For further study</w:t>
      </w:r>
    </w:p>
    <w:p w14:paraId="3E6B575A" w14:textId="09873540" w:rsidR="0060543D" w:rsidRDefault="00213852" w:rsidP="0060543D">
      <w:r>
        <w:t xml:space="preserve">We believe there are some sidelink specific </w:t>
      </w:r>
      <w:r w:rsidR="000052C4">
        <w:t>conditions</w:t>
      </w:r>
      <w:r w:rsidR="005901AE">
        <w:t xml:space="preserve"> in LTE sidelink CA</w:t>
      </w:r>
      <w:r w:rsidR="000052C4">
        <w:t xml:space="preserve"> which </w:t>
      </w:r>
      <w:r w:rsidR="005901AE">
        <w:t xml:space="preserve">may have </w:t>
      </w:r>
      <w:r>
        <w:t>similarities</w:t>
      </w:r>
      <w:r w:rsidR="005901AE">
        <w:t xml:space="preserve"> with </w:t>
      </w:r>
      <w:r w:rsidR="003D4F9A">
        <w:t xml:space="preserve">NR sidelink CA and point to utilizing LTE sidelink CA as baseline. On the other </w:t>
      </w:r>
      <w:r w:rsidR="00F200C8">
        <w:t>hand,</w:t>
      </w:r>
      <w:r w:rsidR="003D4F9A">
        <w:t xml:space="preserve"> there </w:t>
      </w:r>
      <w:r w:rsidR="00A04F72">
        <w:t xml:space="preserve">are significant differences between LTE and NR </w:t>
      </w:r>
      <w:proofErr w:type="spellStart"/>
      <w:r w:rsidR="00A04F72">
        <w:t>wrt</w:t>
      </w:r>
      <w:proofErr w:type="spellEnd"/>
      <w:r w:rsidR="00A04F72">
        <w:t xml:space="preserve">. RF requirements. Few examples </w:t>
      </w:r>
      <w:r w:rsidR="00901674">
        <w:t xml:space="preserve">to mention different modulation schemes and higher sub-carrier spacing. Hence, </w:t>
      </w:r>
      <w:r w:rsidR="00BA32B3">
        <w:t>with RF requirements as the m</w:t>
      </w:r>
      <w:r w:rsidR="00F200C8">
        <w:t>a</w:t>
      </w:r>
      <w:r w:rsidR="00BA32B3">
        <w:t xml:space="preserve">in topic to discuss under this agenda item, we mean there </w:t>
      </w:r>
      <w:r w:rsidR="001020AA">
        <w:t>is higher reuse from NR intra-band compared to LTE S</w:t>
      </w:r>
      <w:r w:rsidR="005736CE">
        <w:t>idelink</w:t>
      </w:r>
      <w:r w:rsidR="001020AA">
        <w:t xml:space="preserve"> intra-band CA.</w:t>
      </w:r>
    </w:p>
    <w:p w14:paraId="1372D501" w14:textId="77777777" w:rsidR="001020AA" w:rsidRPr="008C39F7" w:rsidRDefault="001020AA" w:rsidP="0060543D"/>
    <w:p w14:paraId="7219CD36" w14:textId="1F79F95E" w:rsidR="001020AA" w:rsidRPr="008C39F7" w:rsidRDefault="001020AA" w:rsidP="001020AA">
      <w:pPr>
        <w:pStyle w:val="RAN4proposal"/>
      </w:pPr>
      <w:bookmarkStart w:id="9" w:name="_Toc135041475"/>
      <w:r>
        <w:t xml:space="preserve">RAN4 </w:t>
      </w:r>
      <w:r w:rsidRPr="7B99B850">
        <w:rPr>
          <w:lang w:eastAsia="zh-CN"/>
        </w:rPr>
        <w:t xml:space="preserve">should reuse the existing requirements of NR intra-band </w:t>
      </w:r>
      <w:r w:rsidRPr="007B61AB">
        <w:rPr>
          <w:lang w:eastAsia="zh-CN"/>
        </w:rPr>
        <w:t>contiguous</w:t>
      </w:r>
      <w:r w:rsidRPr="7B99B850">
        <w:rPr>
          <w:lang w:eastAsia="zh-CN"/>
        </w:rPr>
        <w:t xml:space="preserve"> CA</w:t>
      </w:r>
      <w:r w:rsidR="009274B6" w:rsidRPr="7B99B850">
        <w:rPr>
          <w:lang w:eastAsia="zh-CN"/>
        </w:rPr>
        <w:t xml:space="preserve"> </w:t>
      </w:r>
      <w:r w:rsidR="00976EE1">
        <w:rPr>
          <w:lang w:eastAsia="zh-CN"/>
        </w:rPr>
        <w:t xml:space="preserve">as baseline </w:t>
      </w:r>
      <w:r w:rsidR="009274B6" w:rsidRPr="7B99B850">
        <w:rPr>
          <w:lang w:eastAsia="zh-CN"/>
        </w:rPr>
        <w:t>when specifying RF requirements for NR sidelink</w:t>
      </w:r>
      <w:r w:rsidR="005736CE" w:rsidRPr="7B99B850">
        <w:rPr>
          <w:lang w:eastAsia="zh-CN"/>
        </w:rPr>
        <w:t xml:space="preserve"> intra-band CA</w:t>
      </w:r>
      <w:r>
        <w:t>.</w:t>
      </w:r>
      <w:bookmarkEnd w:id="9"/>
    </w:p>
    <w:p w14:paraId="3702E22D" w14:textId="77777777" w:rsidR="0060543D" w:rsidRPr="008C39F7" w:rsidRDefault="0060543D" w:rsidP="0060543D"/>
    <w:p w14:paraId="04ABA0F5" w14:textId="77777777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37BD27E7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07EB0EF7" w14:textId="77777777" w:rsidR="00D5270B" w:rsidRPr="008C39F7" w:rsidRDefault="00D5270B" w:rsidP="00936159">
      <w:pPr>
        <w:rPr>
          <w:highlight w:val="yellow"/>
        </w:rPr>
      </w:pPr>
    </w:p>
    <w:p w14:paraId="44EEF8DC" w14:textId="761EA8AD" w:rsidR="00C82FEA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5041473" w:history="1">
        <w:r w:rsidR="00C82FEA" w:rsidRPr="00EB080C">
          <w:rPr>
            <w:rStyle w:val="Hyperlink"/>
            <w:b/>
            <w:noProof/>
          </w:rPr>
          <w:t>Observation 1:</w:t>
        </w:r>
        <w:r w:rsidR="00C82FEA" w:rsidRPr="00EB080C">
          <w:rPr>
            <w:rStyle w:val="Hyperlink"/>
            <w:noProof/>
          </w:rPr>
          <w:t xml:space="preserve"> From an emission point of view non-contiguous UL intra-band CA is equivalent to contiguous UL intra-band CA with non-contiguous resource allocations.</w:t>
        </w:r>
      </w:hyperlink>
    </w:p>
    <w:p w14:paraId="1ECDFA19" w14:textId="746728E7" w:rsidR="00C82FEA" w:rsidRDefault="009B1CB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041474" w:history="1">
        <w:r w:rsidR="00C82FEA" w:rsidRPr="00EB080C">
          <w:rPr>
            <w:rStyle w:val="Hyperlink"/>
            <w:noProof/>
          </w:rPr>
          <w:t>Proposal 1: RAN4 needs to clarify whether the configurations which make contiguous UL intra-band CA equivalent to non-contiguous intra band CA are excluded.</w:t>
        </w:r>
      </w:hyperlink>
    </w:p>
    <w:p w14:paraId="5F005351" w14:textId="7010BF2F" w:rsidR="00C82FEA" w:rsidRDefault="009B1CB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041475" w:history="1">
        <w:r w:rsidR="00C82FEA" w:rsidRPr="00EB080C">
          <w:rPr>
            <w:rStyle w:val="Hyperlink"/>
            <w:noProof/>
          </w:rPr>
          <w:t xml:space="preserve">Proposal 2: RAN4 </w:t>
        </w:r>
        <w:r w:rsidR="00C82FEA" w:rsidRPr="00EB080C">
          <w:rPr>
            <w:rStyle w:val="Hyperlink"/>
            <w:noProof/>
            <w:lang w:eastAsia="zh-CN"/>
          </w:rPr>
          <w:t>should reuse the existing requirements of NR intra-band contiguous CA as baseline when specifying RF requirements for NR sidelink intra-band CA</w:t>
        </w:r>
        <w:r w:rsidR="00C82FEA" w:rsidRPr="00EB080C">
          <w:rPr>
            <w:rStyle w:val="Hyperlink"/>
            <w:noProof/>
          </w:rPr>
          <w:t>.</w:t>
        </w:r>
      </w:hyperlink>
    </w:p>
    <w:p w14:paraId="2590F91D" w14:textId="77777777" w:rsidR="008C39F7" w:rsidRPr="008C39F7" w:rsidRDefault="00A4355E" w:rsidP="008C39F7">
      <w:r w:rsidRPr="008C39F7">
        <w:fldChar w:fldCharType="end"/>
      </w:r>
      <w:bookmarkStart w:id="11" w:name="_Toc116995849"/>
    </w:p>
    <w:p w14:paraId="45B19551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6F553E48" w14:textId="48661066" w:rsidR="0041410E" w:rsidRPr="003C4FDE" w:rsidRDefault="0041410E" w:rsidP="0041410E">
      <w:pPr>
        <w:pStyle w:val="ListParagraph"/>
        <w:numPr>
          <w:ilvl w:val="0"/>
          <w:numId w:val="21"/>
        </w:numPr>
        <w:ind w:right="-22"/>
      </w:pPr>
      <w:bookmarkStart w:id="12" w:name="_Ref114500673"/>
      <w:bookmarkEnd w:id="12"/>
      <w:r w:rsidRPr="005B2D67">
        <w:t>RP-230077</w:t>
      </w:r>
      <w:r w:rsidRPr="003C4FDE">
        <w:t xml:space="preserve">, </w:t>
      </w:r>
      <w:r w:rsidRPr="0057756E">
        <w:t>WID revision: NR sidelink evolution</w:t>
      </w:r>
      <w:r w:rsidR="00556DE0">
        <w:t>, RAN#99</w:t>
      </w:r>
      <w:r>
        <w:t>, OPPO</w:t>
      </w:r>
      <w:r w:rsidRPr="003C4FDE">
        <w:t xml:space="preserve">. </w:t>
      </w:r>
    </w:p>
    <w:p w14:paraId="775E14EA" w14:textId="588C8698" w:rsidR="0041410E" w:rsidRDefault="0041410E" w:rsidP="00D66188">
      <w:pPr>
        <w:pStyle w:val="ListParagraph"/>
        <w:numPr>
          <w:ilvl w:val="0"/>
          <w:numId w:val="21"/>
        </w:numPr>
        <w:ind w:right="-22"/>
      </w:pPr>
      <w:r>
        <w:t>R4-2306637</w:t>
      </w:r>
      <w:r w:rsidR="00556DE0">
        <w:t>, WF on SL CA, RAN</w:t>
      </w:r>
      <w:r w:rsidR="0039101F">
        <w:t>4</w:t>
      </w:r>
      <w:r w:rsidR="00556DE0">
        <w:t>#106bis, Huawei, HiSilicon</w:t>
      </w:r>
    </w:p>
    <w:sectPr w:rsidR="0041410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236A" w14:textId="77777777" w:rsidR="002F1084" w:rsidRDefault="002F1084" w:rsidP="00001C9B">
      <w:pPr>
        <w:spacing w:after="0" w:line="240" w:lineRule="auto"/>
      </w:pPr>
      <w:r>
        <w:separator/>
      </w:r>
    </w:p>
  </w:endnote>
  <w:endnote w:type="continuationSeparator" w:id="0">
    <w:p w14:paraId="607FD955" w14:textId="77777777" w:rsidR="002F1084" w:rsidRDefault="002F1084" w:rsidP="00001C9B">
      <w:pPr>
        <w:spacing w:after="0" w:line="240" w:lineRule="auto"/>
      </w:pPr>
      <w:r>
        <w:continuationSeparator/>
      </w:r>
    </w:p>
  </w:endnote>
  <w:endnote w:type="continuationNotice" w:id="1">
    <w:p w14:paraId="50A7087C" w14:textId="77777777" w:rsidR="002F1084" w:rsidRDefault="002F10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B6D0F" w14:textId="77777777" w:rsidR="002F1084" w:rsidRDefault="002F1084" w:rsidP="00001C9B">
      <w:pPr>
        <w:spacing w:after="0" w:line="240" w:lineRule="auto"/>
      </w:pPr>
      <w:r>
        <w:separator/>
      </w:r>
    </w:p>
  </w:footnote>
  <w:footnote w:type="continuationSeparator" w:id="0">
    <w:p w14:paraId="66C8812C" w14:textId="77777777" w:rsidR="002F1084" w:rsidRDefault="002F1084" w:rsidP="00001C9B">
      <w:pPr>
        <w:spacing w:after="0" w:line="240" w:lineRule="auto"/>
      </w:pPr>
      <w:r>
        <w:continuationSeparator/>
      </w:r>
    </w:p>
  </w:footnote>
  <w:footnote w:type="continuationNotice" w:id="1">
    <w:p w14:paraId="4EE0587C" w14:textId="77777777" w:rsidR="002F1084" w:rsidRDefault="002F10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E6F"/>
    <w:multiLevelType w:val="multilevel"/>
    <w:tmpl w:val="903A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942925"/>
    <w:multiLevelType w:val="multilevel"/>
    <w:tmpl w:val="661E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E5FD1"/>
    <w:multiLevelType w:val="hybridMultilevel"/>
    <w:tmpl w:val="676AD314"/>
    <w:lvl w:ilvl="0" w:tplc="3DAEB0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36CE0"/>
    <w:multiLevelType w:val="hybridMultilevel"/>
    <w:tmpl w:val="948C4E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8B6E31"/>
    <w:multiLevelType w:val="hybridMultilevel"/>
    <w:tmpl w:val="A5E0EA90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6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BD7C84"/>
    <w:multiLevelType w:val="multilevel"/>
    <w:tmpl w:val="44DE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91ECA"/>
    <w:multiLevelType w:val="multilevel"/>
    <w:tmpl w:val="A76C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31345C"/>
    <w:multiLevelType w:val="multilevel"/>
    <w:tmpl w:val="BB3C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57959"/>
    <w:multiLevelType w:val="multilevel"/>
    <w:tmpl w:val="4112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75AC5"/>
    <w:multiLevelType w:val="multilevel"/>
    <w:tmpl w:val="2200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C23A12"/>
    <w:multiLevelType w:val="multilevel"/>
    <w:tmpl w:val="FFA27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421CB0"/>
    <w:multiLevelType w:val="multilevel"/>
    <w:tmpl w:val="9656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FA7A5F"/>
    <w:multiLevelType w:val="hybridMultilevel"/>
    <w:tmpl w:val="F468C696"/>
    <w:lvl w:ilvl="0" w:tplc="FFFFFFFF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6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6945348">
    <w:abstractNumId w:val="3"/>
  </w:num>
  <w:num w:numId="2" w16cid:durableId="1469392472">
    <w:abstractNumId w:val="12"/>
  </w:num>
  <w:num w:numId="3" w16cid:durableId="1792749823">
    <w:abstractNumId w:val="19"/>
  </w:num>
  <w:num w:numId="4" w16cid:durableId="517735681">
    <w:abstractNumId w:val="11"/>
  </w:num>
  <w:num w:numId="5" w16cid:durableId="1142041724">
    <w:abstractNumId w:val="25"/>
  </w:num>
  <w:num w:numId="6" w16cid:durableId="80681869">
    <w:abstractNumId w:val="17"/>
  </w:num>
  <w:num w:numId="7" w16cid:durableId="1566528953">
    <w:abstractNumId w:val="18"/>
  </w:num>
  <w:num w:numId="8" w16cid:durableId="809788981">
    <w:abstractNumId w:val="18"/>
    <w:lvlOverride w:ilvl="0">
      <w:startOverride w:val="1"/>
    </w:lvlOverride>
  </w:num>
  <w:num w:numId="9" w16cid:durableId="1398822153">
    <w:abstractNumId w:val="18"/>
    <w:lvlOverride w:ilvl="0">
      <w:startOverride w:val="1"/>
    </w:lvlOverride>
  </w:num>
  <w:num w:numId="10" w16cid:durableId="1825466284">
    <w:abstractNumId w:val="18"/>
    <w:lvlOverride w:ilvl="0">
      <w:startOverride w:val="1"/>
    </w:lvlOverride>
  </w:num>
  <w:num w:numId="11" w16cid:durableId="1446922321">
    <w:abstractNumId w:val="17"/>
    <w:lvlOverride w:ilvl="0">
      <w:startOverride w:val="1"/>
    </w:lvlOverride>
  </w:num>
  <w:num w:numId="12" w16cid:durableId="122584543">
    <w:abstractNumId w:val="18"/>
    <w:lvlOverride w:ilvl="0">
      <w:startOverride w:val="1"/>
    </w:lvlOverride>
  </w:num>
  <w:num w:numId="13" w16cid:durableId="818807267">
    <w:abstractNumId w:val="17"/>
    <w:lvlOverride w:ilvl="0">
      <w:startOverride w:val="1"/>
    </w:lvlOverride>
  </w:num>
  <w:num w:numId="14" w16cid:durableId="883829348">
    <w:abstractNumId w:val="18"/>
    <w:lvlOverride w:ilvl="0">
      <w:startOverride w:val="1"/>
    </w:lvlOverride>
  </w:num>
  <w:num w:numId="15" w16cid:durableId="438372887">
    <w:abstractNumId w:val="27"/>
  </w:num>
  <w:num w:numId="16" w16cid:durableId="516113510">
    <w:abstractNumId w:val="9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1"/>
  </w:num>
  <w:num w:numId="22" w16cid:durableId="1938362445">
    <w:abstractNumId w:val="17"/>
    <w:lvlOverride w:ilvl="0">
      <w:startOverride w:val="1"/>
    </w:lvlOverride>
  </w:num>
  <w:num w:numId="23" w16cid:durableId="913515990">
    <w:abstractNumId w:val="18"/>
    <w:lvlOverride w:ilvl="0">
      <w:startOverride w:val="1"/>
    </w:lvlOverride>
  </w:num>
  <w:num w:numId="24" w16cid:durableId="978418003">
    <w:abstractNumId w:val="5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2077163691">
    <w:abstractNumId w:val="14"/>
    <w:lvlOverride w:ilvl="0">
      <w:startOverride w:val="1"/>
    </w:lvlOverride>
  </w:num>
  <w:num w:numId="28" w16cid:durableId="29233144">
    <w:abstractNumId w:val="13"/>
  </w:num>
  <w:num w:numId="29" w16cid:durableId="1498300659">
    <w:abstractNumId w:val="1"/>
  </w:num>
  <w:num w:numId="30" w16cid:durableId="1815290027">
    <w:abstractNumId w:val="22"/>
  </w:num>
  <w:num w:numId="31" w16cid:durableId="147720103">
    <w:abstractNumId w:val="24"/>
  </w:num>
  <w:num w:numId="32" w16cid:durableId="805925957">
    <w:abstractNumId w:val="20"/>
  </w:num>
  <w:num w:numId="33" w16cid:durableId="1352535266">
    <w:abstractNumId w:val="0"/>
  </w:num>
  <w:num w:numId="34" w16cid:durableId="1749226117">
    <w:abstractNumId w:val="26"/>
  </w:num>
  <w:num w:numId="35" w16cid:durableId="484706522">
    <w:abstractNumId w:val="10"/>
  </w:num>
  <w:num w:numId="36" w16cid:durableId="584536760">
    <w:abstractNumId w:val="6"/>
  </w:num>
  <w:num w:numId="37" w16cid:durableId="11396091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63382428">
    <w:abstractNumId w:val="4"/>
  </w:num>
  <w:num w:numId="39" w16cid:durableId="597300193">
    <w:abstractNumId w:val="7"/>
  </w:num>
  <w:num w:numId="40" w16cid:durableId="1875576476">
    <w:abstractNumId w:val="4"/>
  </w:num>
  <w:num w:numId="41" w16cid:durableId="1670256340">
    <w:abstractNumId w:val="28"/>
  </w:num>
  <w:num w:numId="42" w16cid:durableId="5780287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A6BA2"/>
    <w:rsid w:val="00001C9B"/>
    <w:rsid w:val="000040DC"/>
    <w:rsid w:val="000052C4"/>
    <w:rsid w:val="00011784"/>
    <w:rsid w:val="000151EF"/>
    <w:rsid w:val="000239F5"/>
    <w:rsid w:val="00023A54"/>
    <w:rsid w:val="00024293"/>
    <w:rsid w:val="00036A17"/>
    <w:rsid w:val="00036BEE"/>
    <w:rsid w:val="000840F3"/>
    <w:rsid w:val="0008612A"/>
    <w:rsid w:val="00090119"/>
    <w:rsid w:val="00090E18"/>
    <w:rsid w:val="00093D61"/>
    <w:rsid w:val="000A10BC"/>
    <w:rsid w:val="000A27AB"/>
    <w:rsid w:val="000A6BA2"/>
    <w:rsid w:val="000B0056"/>
    <w:rsid w:val="000C3C7B"/>
    <w:rsid w:val="000D0F93"/>
    <w:rsid w:val="000D4AE9"/>
    <w:rsid w:val="000E36B4"/>
    <w:rsid w:val="001020AA"/>
    <w:rsid w:val="00106416"/>
    <w:rsid w:val="00110481"/>
    <w:rsid w:val="001127C9"/>
    <w:rsid w:val="00115B88"/>
    <w:rsid w:val="00132F6A"/>
    <w:rsid w:val="00133913"/>
    <w:rsid w:val="00137694"/>
    <w:rsid w:val="00140221"/>
    <w:rsid w:val="00144425"/>
    <w:rsid w:val="00146240"/>
    <w:rsid w:val="00154C49"/>
    <w:rsid w:val="001642FC"/>
    <w:rsid w:val="0016496B"/>
    <w:rsid w:val="001743E2"/>
    <w:rsid w:val="001745F8"/>
    <w:rsid w:val="001838CF"/>
    <w:rsid w:val="001868EE"/>
    <w:rsid w:val="001A3BA4"/>
    <w:rsid w:val="001A5906"/>
    <w:rsid w:val="001A6D1F"/>
    <w:rsid w:val="001A718F"/>
    <w:rsid w:val="001C19B4"/>
    <w:rsid w:val="001C7DB2"/>
    <w:rsid w:val="001D6B15"/>
    <w:rsid w:val="001E30F6"/>
    <w:rsid w:val="00213852"/>
    <w:rsid w:val="00217EE5"/>
    <w:rsid w:val="00222091"/>
    <w:rsid w:val="00235F5C"/>
    <w:rsid w:val="00257FA3"/>
    <w:rsid w:val="002634E4"/>
    <w:rsid w:val="00265268"/>
    <w:rsid w:val="00277B56"/>
    <w:rsid w:val="0029356B"/>
    <w:rsid w:val="00296FA9"/>
    <w:rsid w:val="002A19F5"/>
    <w:rsid w:val="002A39C1"/>
    <w:rsid w:val="002B1F99"/>
    <w:rsid w:val="002B4922"/>
    <w:rsid w:val="002C22C3"/>
    <w:rsid w:val="002C2D19"/>
    <w:rsid w:val="002D10FA"/>
    <w:rsid w:val="002D4C55"/>
    <w:rsid w:val="002E38C0"/>
    <w:rsid w:val="002E6DED"/>
    <w:rsid w:val="002F1084"/>
    <w:rsid w:val="00300956"/>
    <w:rsid w:val="003031E5"/>
    <w:rsid w:val="00306862"/>
    <w:rsid w:val="00306A59"/>
    <w:rsid w:val="00317187"/>
    <w:rsid w:val="0032499A"/>
    <w:rsid w:val="003341F7"/>
    <w:rsid w:val="003445CA"/>
    <w:rsid w:val="00346785"/>
    <w:rsid w:val="00347FEC"/>
    <w:rsid w:val="00356F45"/>
    <w:rsid w:val="00363E1D"/>
    <w:rsid w:val="00366B74"/>
    <w:rsid w:val="0038375E"/>
    <w:rsid w:val="0039101F"/>
    <w:rsid w:val="0039341B"/>
    <w:rsid w:val="003A710A"/>
    <w:rsid w:val="003B659E"/>
    <w:rsid w:val="003C275E"/>
    <w:rsid w:val="003C47B9"/>
    <w:rsid w:val="003C4FDE"/>
    <w:rsid w:val="003D4F9A"/>
    <w:rsid w:val="003E58DF"/>
    <w:rsid w:val="00400F14"/>
    <w:rsid w:val="00404C4C"/>
    <w:rsid w:val="0041410E"/>
    <w:rsid w:val="0041423F"/>
    <w:rsid w:val="00414F81"/>
    <w:rsid w:val="00415147"/>
    <w:rsid w:val="004171EE"/>
    <w:rsid w:val="00417E78"/>
    <w:rsid w:val="00436A0F"/>
    <w:rsid w:val="00437150"/>
    <w:rsid w:val="0043750A"/>
    <w:rsid w:val="00460E68"/>
    <w:rsid w:val="0047177B"/>
    <w:rsid w:val="004732E9"/>
    <w:rsid w:val="004854BB"/>
    <w:rsid w:val="0049211E"/>
    <w:rsid w:val="00494493"/>
    <w:rsid w:val="00496606"/>
    <w:rsid w:val="004C114E"/>
    <w:rsid w:val="004E5E66"/>
    <w:rsid w:val="004E7ADB"/>
    <w:rsid w:val="00503B4D"/>
    <w:rsid w:val="00504EE9"/>
    <w:rsid w:val="0051092C"/>
    <w:rsid w:val="005130CB"/>
    <w:rsid w:val="00521576"/>
    <w:rsid w:val="005250E6"/>
    <w:rsid w:val="00542BEF"/>
    <w:rsid w:val="00542D23"/>
    <w:rsid w:val="005437E7"/>
    <w:rsid w:val="0054442C"/>
    <w:rsid w:val="00550285"/>
    <w:rsid w:val="00556DE0"/>
    <w:rsid w:val="00562492"/>
    <w:rsid w:val="00572A20"/>
    <w:rsid w:val="005736CE"/>
    <w:rsid w:val="005836F8"/>
    <w:rsid w:val="00583C4C"/>
    <w:rsid w:val="005901AE"/>
    <w:rsid w:val="005918FA"/>
    <w:rsid w:val="00592A86"/>
    <w:rsid w:val="005943FA"/>
    <w:rsid w:val="005B2B3D"/>
    <w:rsid w:val="005B4801"/>
    <w:rsid w:val="005C23A4"/>
    <w:rsid w:val="005D1CDF"/>
    <w:rsid w:val="005D2BB7"/>
    <w:rsid w:val="005D739F"/>
    <w:rsid w:val="005E61A8"/>
    <w:rsid w:val="005F6419"/>
    <w:rsid w:val="0060543D"/>
    <w:rsid w:val="006104DD"/>
    <w:rsid w:val="006130B5"/>
    <w:rsid w:val="00617400"/>
    <w:rsid w:val="006307AF"/>
    <w:rsid w:val="00632D29"/>
    <w:rsid w:val="00664950"/>
    <w:rsid w:val="00683220"/>
    <w:rsid w:val="00687FA0"/>
    <w:rsid w:val="00691460"/>
    <w:rsid w:val="006A3C11"/>
    <w:rsid w:val="006B0EDF"/>
    <w:rsid w:val="006B7010"/>
    <w:rsid w:val="006C3095"/>
    <w:rsid w:val="006C362B"/>
    <w:rsid w:val="006E1151"/>
    <w:rsid w:val="006E6311"/>
    <w:rsid w:val="006E6380"/>
    <w:rsid w:val="007118E7"/>
    <w:rsid w:val="007145FF"/>
    <w:rsid w:val="00715B2A"/>
    <w:rsid w:val="007450F1"/>
    <w:rsid w:val="00751515"/>
    <w:rsid w:val="007626B7"/>
    <w:rsid w:val="0078212B"/>
    <w:rsid w:val="00784DF6"/>
    <w:rsid w:val="00785232"/>
    <w:rsid w:val="00792CF0"/>
    <w:rsid w:val="007A22E6"/>
    <w:rsid w:val="007B186C"/>
    <w:rsid w:val="007B1CD8"/>
    <w:rsid w:val="007B5967"/>
    <w:rsid w:val="007B61AB"/>
    <w:rsid w:val="007C1696"/>
    <w:rsid w:val="007C3ED0"/>
    <w:rsid w:val="007C5971"/>
    <w:rsid w:val="007E4385"/>
    <w:rsid w:val="007F54B9"/>
    <w:rsid w:val="00801497"/>
    <w:rsid w:val="00806A76"/>
    <w:rsid w:val="00811C9D"/>
    <w:rsid w:val="00816C80"/>
    <w:rsid w:val="008272D1"/>
    <w:rsid w:val="00841BCD"/>
    <w:rsid w:val="00851A8E"/>
    <w:rsid w:val="0085365B"/>
    <w:rsid w:val="008709F3"/>
    <w:rsid w:val="008826C1"/>
    <w:rsid w:val="00883DFD"/>
    <w:rsid w:val="00885358"/>
    <w:rsid w:val="00885E8F"/>
    <w:rsid w:val="00887D3F"/>
    <w:rsid w:val="008A1BF7"/>
    <w:rsid w:val="008A5B0E"/>
    <w:rsid w:val="008B0961"/>
    <w:rsid w:val="008C39F7"/>
    <w:rsid w:val="008D6F05"/>
    <w:rsid w:val="008E5756"/>
    <w:rsid w:val="0090091A"/>
    <w:rsid w:val="00901674"/>
    <w:rsid w:val="009042BD"/>
    <w:rsid w:val="00904FE4"/>
    <w:rsid w:val="009101B9"/>
    <w:rsid w:val="009274B6"/>
    <w:rsid w:val="00931848"/>
    <w:rsid w:val="00936159"/>
    <w:rsid w:val="00976EE1"/>
    <w:rsid w:val="00977E1D"/>
    <w:rsid w:val="009A2F8D"/>
    <w:rsid w:val="009B0573"/>
    <w:rsid w:val="009B1CB0"/>
    <w:rsid w:val="009B7B4B"/>
    <w:rsid w:val="009B7C21"/>
    <w:rsid w:val="009E2BBA"/>
    <w:rsid w:val="00A00881"/>
    <w:rsid w:val="00A04992"/>
    <w:rsid w:val="00A04F72"/>
    <w:rsid w:val="00A147AA"/>
    <w:rsid w:val="00A17E01"/>
    <w:rsid w:val="00A21D71"/>
    <w:rsid w:val="00A22B78"/>
    <w:rsid w:val="00A25AE5"/>
    <w:rsid w:val="00A26E39"/>
    <w:rsid w:val="00A27333"/>
    <w:rsid w:val="00A301D5"/>
    <w:rsid w:val="00A37002"/>
    <w:rsid w:val="00A4355E"/>
    <w:rsid w:val="00A62B49"/>
    <w:rsid w:val="00A657FB"/>
    <w:rsid w:val="00A9268D"/>
    <w:rsid w:val="00A92BCD"/>
    <w:rsid w:val="00A95A9A"/>
    <w:rsid w:val="00AA1B0E"/>
    <w:rsid w:val="00AA2EE2"/>
    <w:rsid w:val="00AA47B6"/>
    <w:rsid w:val="00AB0E48"/>
    <w:rsid w:val="00AB217D"/>
    <w:rsid w:val="00AC163B"/>
    <w:rsid w:val="00AC57B5"/>
    <w:rsid w:val="00AC5CA7"/>
    <w:rsid w:val="00AC6058"/>
    <w:rsid w:val="00AC7B08"/>
    <w:rsid w:val="00AD135B"/>
    <w:rsid w:val="00AE2BA5"/>
    <w:rsid w:val="00AE56B1"/>
    <w:rsid w:val="00AE6D09"/>
    <w:rsid w:val="00AF7058"/>
    <w:rsid w:val="00AF7A7C"/>
    <w:rsid w:val="00B02070"/>
    <w:rsid w:val="00B06B47"/>
    <w:rsid w:val="00B1542A"/>
    <w:rsid w:val="00B208E1"/>
    <w:rsid w:val="00B232A5"/>
    <w:rsid w:val="00B408B6"/>
    <w:rsid w:val="00B542DA"/>
    <w:rsid w:val="00B70782"/>
    <w:rsid w:val="00B73862"/>
    <w:rsid w:val="00B73F43"/>
    <w:rsid w:val="00B90F47"/>
    <w:rsid w:val="00BA32B3"/>
    <w:rsid w:val="00BA6B66"/>
    <w:rsid w:val="00BA6E48"/>
    <w:rsid w:val="00BD1219"/>
    <w:rsid w:val="00BE0AF6"/>
    <w:rsid w:val="00BE1F03"/>
    <w:rsid w:val="00BE3625"/>
    <w:rsid w:val="00BE58A7"/>
    <w:rsid w:val="00BF2218"/>
    <w:rsid w:val="00C0426B"/>
    <w:rsid w:val="00C045DF"/>
    <w:rsid w:val="00C23E8F"/>
    <w:rsid w:val="00C26D43"/>
    <w:rsid w:val="00C30856"/>
    <w:rsid w:val="00C43EB2"/>
    <w:rsid w:val="00C46548"/>
    <w:rsid w:val="00C574D5"/>
    <w:rsid w:val="00C73F32"/>
    <w:rsid w:val="00C82FEA"/>
    <w:rsid w:val="00C87462"/>
    <w:rsid w:val="00CA180C"/>
    <w:rsid w:val="00CA4B9B"/>
    <w:rsid w:val="00CA4DEF"/>
    <w:rsid w:val="00CB107D"/>
    <w:rsid w:val="00CB22B2"/>
    <w:rsid w:val="00CC3EE2"/>
    <w:rsid w:val="00CC6DFF"/>
    <w:rsid w:val="00CD7492"/>
    <w:rsid w:val="00CE3A6B"/>
    <w:rsid w:val="00CF760C"/>
    <w:rsid w:val="00D00211"/>
    <w:rsid w:val="00D05DB8"/>
    <w:rsid w:val="00D06309"/>
    <w:rsid w:val="00D071CE"/>
    <w:rsid w:val="00D15022"/>
    <w:rsid w:val="00D20983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86FBD"/>
    <w:rsid w:val="00D95481"/>
    <w:rsid w:val="00DC30DC"/>
    <w:rsid w:val="00DC7A13"/>
    <w:rsid w:val="00DD045A"/>
    <w:rsid w:val="00DE197C"/>
    <w:rsid w:val="00DE6605"/>
    <w:rsid w:val="00DF2997"/>
    <w:rsid w:val="00E10BC4"/>
    <w:rsid w:val="00E11805"/>
    <w:rsid w:val="00E1415D"/>
    <w:rsid w:val="00E30D14"/>
    <w:rsid w:val="00E323E9"/>
    <w:rsid w:val="00E34018"/>
    <w:rsid w:val="00E3723D"/>
    <w:rsid w:val="00E437D2"/>
    <w:rsid w:val="00E55751"/>
    <w:rsid w:val="00E573DB"/>
    <w:rsid w:val="00E8083B"/>
    <w:rsid w:val="00EA2311"/>
    <w:rsid w:val="00EC73E2"/>
    <w:rsid w:val="00EC7BC3"/>
    <w:rsid w:val="00ED7600"/>
    <w:rsid w:val="00EF6073"/>
    <w:rsid w:val="00EF62E2"/>
    <w:rsid w:val="00EF698B"/>
    <w:rsid w:val="00F129D5"/>
    <w:rsid w:val="00F1362C"/>
    <w:rsid w:val="00F200C8"/>
    <w:rsid w:val="00F414F1"/>
    <w:rsid w:val="00F508B8"/>
    <w:rsid w:val="00F601B9"/>
    <w:rsid w:val="00F6381B"/>
    <w:rsid w:val="00F72CB1"/>
    <w:rsid w:val="00F8215E"/>
    <w:rsid w:val="00F824F5"/>
    <w:rsid w:val="00F90FAB"/>
    <w:rsid w:val="00F916D4"/>
    <w:rsid w:val="00F91EE8"/>
    <w:rsid w:val="00F9374D"/>
    <w:rsid w:val="00FA1A3C"/>
    <w:rsid w:val="00FA64C0"/>
    <w:rsid w:val="00FC29B9"/>
    <w:rsid w:val="00FC6FD3"/>
    <w:rsid w:val="00FE305C"/>
    <w:rsid w:val="00FF0301"/>
    <w:rsid w:val="00FF181D"/>
    <w:rsid w:val="00FF6801"/>
    <w:rsid w:val="1AEF7160"/>
    <w:rsid w:val="3D91E968"/>
    <w:rsid w:val="46420C0E"/>
    <w:rsid w:val="4FFE3796"/>
    <w:rsid w:val="57C52599"/>
    <w:rsid w:val="614037C8"/>
    <w:rsid w:val="6880D50E"/>
    <w:rsid w:val="73179F19"/>
    <w:rsid w:val="7B99B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10B941"/>
  <w15:chartTrackingRefBased/>
  <w15:docId w15:val="{2E54FB8A-F9D1-4C04-85BD-E47F8F7B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Yu Gothic UI" w:hAnsi="Yu Gothic U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D121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A64C0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D1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135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D1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13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bouris\OneDrive%20-%20Nokia\Working%20Docs\07-SL\3GPP%20contribution\RAN4\107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5AIRPNAIUNRU-1328258698-23153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https://nokia.sharepoint.com/sites/c5g/5gradio/_layouts/15/DocIdRedir.aspx?ID=5AIRPNAIUNRU-1328258698-23153</Url>
      <Description>5AIRPNAIUNRU-1328258698-23153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infopath/2007/PartnerControls"/>
    <ds:schemaRef ds:uri="3b34c8f0-1ef5-4d1e-bb66-517ce7fe7356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71c5aaf6-e6ce-465b-b873-5148d2a4c105"/>
    <ds:schemaRef ds:uri="0b6aed8e-0313-4d17-80ff-d0e5da4931c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</Template>
  <TotalTime>0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Farah</dc:creator>
  <cp:keywords>3GPP;RAN4</cp:keywords>
  <dc:description/>
  <cp:lastModifiedBy>Nokia</cp:lastModifiedBy>
  <cp:revision>2</cp:revision>
  <dcterms:created xsi:type="dcterms:W3CDTF">2023-05-15T18:53:00Z</dcterms:created>
  <dcterms:modified xsi:type="dcterms:W3CDTF">2023-05-15T18:53:00Z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f5fd4458-1b4a-40d7-9c46-f92036671d09</vt:lpwstr>
  </property>
  <property fmtid="{D5CDD505-2E9C-101B-9397-08002B2CF9AE}" pid="11" name="MediaServiceImageTags">
    <vt:lpwstr/>
  </property>
</Properties>
</file>